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28" w:rsidRDefault="00EB0028" w:rsidP="00EB0028">
      <w:pPr>
        <w:suppressAutoHyphens/>
        <w:spacing w:after="0" w:line="360" w:lineRule="auto"/>
        <w:ind w:firstLine="70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Муниципальное автономное дошкольное образовательное учреждение детский сад № 14 г. Липецка</w:t>
      </w:r>
    </w:p>
    <w:p w:rsidR="00EB0028" w:rsidRDefault="00EB0028" w:rsidP="00EB002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B0028" w:rsidRDefault="00EB0028" w:rsidP="00EB0028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B0028" w:rsidRDefault="00EB0028" w:rsidP="00EB0028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B0028" w:rsidRDefault="00EB0028" w:rsidP="00EB002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52"/>
        </w:rPr>
      </w:pP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EB0028">
        <w:rPr>
          <w:rFonts w:ascii="FlexySans-Bold" w:eastAsia="Times New Roman" w:hAnsi="FlexySans-Bold" w:cs="Times New Roman"/>
          <w:bCs/>
          <w:color w:val="000000" w:themeColor="text1"/>
          <w:kern w:val="36"/>
          <w:sz w:val="60"/>
          <w:szCs w:val="60"/>
          <w:lang w:eastAsia="ru-RU"/>
        </w:rPr>
        <w:t>Сообщение из опыта работы</w:t>
      </w:r>
      <w:r>
        <w:rPr>
          <w:rFonts w:ascii="FlexySans-Bold" w:eastAsia="Times New Roman" w:hAnsi="FlexySans-Bold" w:cs="Times New Roman"/>
          <w:b/>
          <w:bCs/>
          <w:color w:val="000000" w:themeColor="text1"/>
          <w:kern w:val="36"/>
          <w:sz w:val="60"/>
          <w:szCs w:val="60"/>
          <w:lang w:eastAsia="ru-RU"/>
        </w:rPr>
        <w:t xml:space="preserve"> «</w:t>
      </w:r>
      <w:r w:rsidRPr="00EB0028">
        <w:rPr>
          <w:rFonts w:ascii="FlexySans-Bold" w:eastAsia="Times New Roman" w:hAnsi="FlexySans-Bold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Сюжетно-ролевые игры</w:t>
      </w:r>
      <w:r>
        <w:rPr>
          <w:rFonts w:ascii="FlexySans-Bold" w:eastAsia="Times New Roman" w:hAnsi="FlexySans-Bold" w:cs="Times New Roman"/>
          <w:b/>
          <w:bCs/>
          <w:color w:val="000000" w:themeColor="text1"/>
          <w:kern w:val="36"/>
          <w:sz w:val="60"/>
          <w:szCs w:val="60"/>
          <w:lang w:eastAsia="ru-RU"/>
        </w:rPr>
        <w:t xml:space="preserve"> в младшей группе детского сада»</w:t>
      </w:r>
    </w:p>
    <w:p w:rsidR="00EB0028" w:rsidRDefault="00EB0028" w:rsidP="00EB0028">
      <w:pPr>
        <w:suppressAutoHyphens/>
        <w:spacing w:after="0" w:line="240" w:lineRule="auto"/>
        <w:ind w:firstLine="709"/>
        <w:jc w:val="center"/>
      </w:pPr>
    </w:p>
    <w:p w:rsidR="00EB0028" w:rsidRDefault="00EB0028" w:rsidP="00EB00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022BE670" wp14:editId="5D13813C">
            <wp:extent cx="3143885" cy="3669665"/>
            <wp:effectExtent l="0" t="0" r="0" b="6985"/>
            <wp:docPr id="2" name="Рисунок 2" descr="C:\Users\User\Desktop\Опыт по с.р\hello_html_m20a454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ыт по с.р\hello_html_m20a454b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28" w:rsidRDefault="00EB0028" w:rsidP="00EB00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B0028" w:rsidRDefault="00EB0028" w:rsidP="00EB00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B0028" w:rsidRDefault="00EB0028" w:rsidP="00EB00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B0028" w:rsidRDefault="00EB0028" w:rsidP="00EB00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B0028" w:rsidRDefault="00EB0028" w:rsidP="00EB0028">
      <w:pPr>
        <w:suppressAutoHyphens/>
        <w:spacing w:after="0" w:line="360" w:lineRule="auto"/>
        <w:ind w:firstLine="709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 ДОУ № 14 г. Липецка</w:t>
      </w:r>
    </w:p>
    <w:p w:rsidR="00EB0028" w:rsidRDefault="00EB0028" w:rsidP="00EB0028">
      <w:pPr>
        <w:suppressAutoHyphens/>
        <w:spacing w:after="0" w:line="360" w:lineRule="auto"/>
        <w:ind w:firstLine="709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Воробьева Ольга Валерьевна</w:t>
      </w:r>
    </w:p>
    <w:p w:rsidR="00EB0028" w:rsidRDefault="00EB0028" w:rsidP="00EB002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B0028" w:rsidRDefault="00EB0028" w:rsidP="00EB002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Липецк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 xml:space="preserve">Появление сюжетно-ролевых игр в младшей группе детского сада связано с рядом условий: наличием разнообразных впечатлений от окружающего, накоплением предметных игровых действий, наличием игрушек, частотой общения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со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взрослым, развитием  ребенка.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Первые сюжетные игры малышей протекают как игры </w:t>
      </w:r>
      <w:proofErr w:type="spell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безролевые</w:t>
      </w:r>
      <w:proofErr w:type="spell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или игры со скрытой ролью. Действия детей приобретают сюжетный характер и объединяются в цепочку, имеющую жизненный смысл. Эта цепочка состоит из двух-трех действий и многократно повторяется. Основным содержанием, как и в предметной игре, являются разнообразные действия с предметами. Неизменной остается и форма игры: или как индивидуальная, или как игра «рядом».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Действия с предметами, игрушками осуществляются каждым из играющих самостоятельно, и основания для объединения у них еще нет.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Совместные игры малышей возможны лишь при участии взрослого.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Формирование у детей третьего года жизни условных предметно-игровых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действий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прежде всего должно быть совмещено с организацией предметного игрового взаимодействия, что облегчает детям в дальнейшем вступление в совместную сюжетную игру друг с другом. С этой целью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я использую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любые катающиеся предметы (мячик, тележку и т. п.) — ковровую дорожку или скамеечку, направляющие движение игрушки. Очень важно, чтобы первоначально взаимодействие двух партнеров осуществлялось с одним большим предметом (один мяч, одна машина и т. п.).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Дальнейшая игра с детьми с целью формирования предметного взаимодействия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принимает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разнообразные формы: это совместная постройка башни из кубиков, сбор пирамидки и т. п. Например,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я </w:t>
      </w:r>
      <w:proofErr w:type="gramStart"/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предлагаю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двоим малышам: «Давайте вместе построим башню. Я первый кубик положила. Саша, теперь ты клади кубик сверху. А теперь — Света. Теперь — опять Саша. Получилась высокая башня». Параллельно с организацией парного предметного взаимодействия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формирую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у детей простейшие условные действия с сюжетными игрушками и предме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тами-заместителями. Для этого развертываю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сюжетную игру на глазах у детей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По мере того, как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идет усвоение детьми действий с сюжетными игрушками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перехожу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 показу игры, включающей уже не одну, а две смысловые ситуации, связанны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е друг с другом, например, варим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суп на игрушечной п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лите, а затем кормим им кукол; стираем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кукольное платье в и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грушечном тазике, а затем гладим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его утюгом и т. п. Все эти сюжеты должны непременно включать в себя действия, уже известные детям, которые они неоднократно наблюдали в реальной жизни.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Сначала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разыгрываю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такой «двухфазный» сюжет на глазах у детей. Пр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и последующем повторении игры  подключаю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 игре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одного 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>двух малышей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: «Коля, я зайку покормила, теперь ему спать пора. Уложить его спать?» и т. п.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На этом этапе работы наря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ду с сюжетными игрушками ввожу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в совместную игру с детьми предметы-заместители (например, палочку вместо ложки, кубик вместо пирожка и т. п.). Постепенно в разных играх необходимо расширять круг действий с предметами-заместителями: использовать один и тот же предмет для выполнения разных игровых действий (например, в одной игре палочка — это ложка, в другой — карандаш, в третьей — расческа); использовать разные предметы для выполнения одного и того же игрового действия (например, в одной игре вместо мыла предлагается кубик, в следующий раз — брусочек и т. п.).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Очень важно, чтобы предмет-заместитель в играх с детьми данного возраста сочетался с реалистической сюжетной игрушкой, например, если булочка замешается кубиком, то тарелка, на которой она лежит, должна быть «как настоящая».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Для того чтобы дети в своей самостоятельной деятельности после игры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со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взрослыми могли развертывать игровые действия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, сохраняю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предметно-игровую среду </w:t>
      </w:r>
      <w:r w:rsidR="007E2440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или специально ее организовываю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Чтобы переход к ролевой игре произошел, необходимо, прежде всего, чтобы ребенок умел выделять специфические для определенного взрослого действия, воспроизводить их в игре с игрушками. Педагог должен отчетливо представлять, какие роли целесообразно вводить в детскую игру на данном этапе. Самое главное, это должны быть роли взрослых, знакомые ребенку по его жизненной практике, реализующиеся через понятные для него действия, имеющие яркий отличительный внешний атрибут.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Например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роль «доктора» (доктор измеряет температуру, делает уколы, дает лекарство; внешним атрибутом роли «доктора» может быть белая шапочка или халат), роль «шофера» (шофер водит машину, автобус, возит пассажиров, грузы; специфическим предметом, обозначающим эту роль, может быть руль).</w:t>
      </w:r>
    </w:p>
    <w:p w:rsidR="00EB0028" w:rsidRPr="00EB0028" w:rsidRDefault="00C369C3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редварительно подгот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авливаю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несколько наборов игрушек и ролевы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х атрибутов и постепенно ввожу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их в игры. Каждый набор обязательно обыгрывается. Например, 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достаю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заранее приготовленную коробку с «медицинскими принадлежностями», надев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аю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белую шапо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чку и на глазах у детей начинаю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играть, принимая на себя роль «доктора»: «Я доктор. Буду лечить детей. Здесь у меня больница. Зайка, ты заболел? Что у тебя болит? Покажи горлышко. Сейчас температуру тебе измерим. (Ставит зайке градусник.) Теперь послушаю тебя. У тебя ангина».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Игра, естественно, привлекает внимание детей. Теперь детей можно вовлечь в нее: «Лена, твоя дочка тоже заболела? Веди ее в 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 xml:space="preserve">больницу. Я доктор, полечу ее». Процедура «лечения» может повторяться с двумя-тремя куклами или зверушками, которых дети «приводят» в больницу. Также наравне с куклами </w:t>
      </w:r>
      <w:r w:rsidR="00C369C3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можно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«полечить» и кого-нибудь из ребят: «Рома, </w:t>
      </w:r>
      <w:proofErr w:type="gramStart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давай</w:t>
      </w:r>
      <w:proofErr w:type="gramEnd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как будто ты заболел и тоже пришел в больницу. Сейчас доктор и тебя полечит». После такой игры </w:t>
      </w:r>
      <w:r w:rsidR="00C369C3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спросить</w:t>
      </w: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детей: «Кто теперь хочет быть доктором? Вася? Надевай шапочку. Теперь ты будешь лечить детей».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Во время игры педагог должен неоднократно называть свою игровую роль, связывая ее со специфическими ролевыми действиями.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Наличие роли в игре приводит к быстрому увеличению разнообразных действий; постепенно обогащается и эмоциональное содержание игры: ребенок переживает чувства, связанные с конкретной ролью.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По форме первые ролевые игры чаще всего продолжают оставаться играми рядом: дети чаще всего осуществляют действия независимо друг от друга.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 такой игре отсутствует подготовительный период: ребята начинают игру как бы с ходу. Чаще всего толчок к возникновению игры дает игрушка, попавшая в поле зрения ребенка.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Обогащение ролевых действий в играх отдельных детей постепенно приводит к появлению совместной игры, объединяющей вначале двух-трех, а затем и большее количество детей. Вначале они группируются на основе действия по его направленности: ведет машину шофер, а пассажир едет в ней; врач лечит больного, парикмахер стрижет маму и т. д. Такие объединения еще очень кратковременны, быстро распадаются. Сюжет игры малышей несложен: в нем дети преимущественно отражают жизнь семьи, детского сада.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Основными задачами руководства играми воспитанников младших групп детского сада являются: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1. Развитие и обогащение игровых действий с игрушками на основе обогащения отдельных игровых действий.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2.  Развитие и обогащение сюжетов игры.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3. Формирование умений детей играть рядом, а затем и вместе. 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Одним из основных приемов руководства играми малышей является участие воспитателя в их играх. Совместная игра способствует большой целенаправленности и содержательности действий детей.</w:t>
      </w:r>
    </w:p>
    <w:p w:rsidR="00EB0028" w:rsidRPr="00EB0028" w:rsidRDefault="00C369C3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П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ринима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ю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участие в играх, беря на себя ту или иную роль: мамы, врача, учительницы, шофера и др. Это дает возможность объединить нескольких детей для совместной игры. А роль, которую  бер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у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на себя, служит примером для подражания. Ролевое участие в играх малышей может быть направлено также на обогащение замысла и игровых 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lastRenderedPageBreak/>
        <w:t xml:space="preserve">действий отдельных детей: </w:t>
      </w:r>
      <w:r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разговариваю с детьми, показываю</w:t>
      </w:r>
      <w:r w:rsidR="00EB0028"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им действия с теми или иными игрушками.</w:t>
      </w:r>
    </w:p>
    <w:p w:rsidR="00EB0028" w:rsidRPr="00EB0028" w:rsidRDefault="00EB0028" w:rsidP="00C369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По мере обогащения игры игровыми действиями, возникновения сюжета дети начинают словом обозначать свою роль. </w:t>
      </w:r>
    </w:p>
    <w:p w:rsidR="00EB0028" w:rsidRPr="00EB0028" w:rsidRDefault="00EB0028" w:rsidP="00EB00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  <w:lang w:eastAsia="ru-RU"/>
        </w:rPr>
      </w:pPr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Время от времени устраива</w:t>
      </w:r>
      <w:r w:rsidR="00C369C3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ю</w:t>
      </w:r>
      <w:bookmarkStart w:id="0" w:name="_GoBack"/>
      <w:bookmarkEnd w:id="0"/>
      <w:r w:rsidRPr="00EB0028">
        <w:rPr>
          <w:rFonts w:ascii="inherit" w:eastAsia="Times New Roman" w:hAnsi="inherit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игры-развлечения со всеми детьми, организуя сюжетно-ролевую игру по собственному замыслу (празднование дня рождения куклы Маши, веселое путешествие по городу и т. д.).</w:t>
      </w:r>
    </w:p>
    <w:p w:rsidR="00BF5AE1" w:rsidRDefault="00BF5AE1"/>
    <w:sectPr w:rsidR="00BF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05"/>
    <w:rsid w:val="00323C05"/>
    <w:rsid w:val="007E2440"/>
    <w:rsid w:val="00BF5AE1"/>
    <w:rsid w:val="00C369C3"/>
    <w:rsid w:val="00E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2021-02-15T18:48:00Z</dcterms:created>
  <dcterms:modified xsi:type="dcterms:W3CDTF">2021-02-15T19:18:00Z</dcterms:modified>
</cp:coreProperties>
</file>