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B4" w:rsidRPr="006553B4" w:rsidRDefault="006553B4" w:rsidP="0081622D">
      <w:pPr>
        <w:tabs>
          <w:tab w:val="left" w:pos="720"/>
        </w:tabs>
        <w:jc w:val="center"/>
        <w:rPr>
          <w:rFonts w:eastAsia="Times New Roman" w:cs="Times New Roman"/>
          <w:b/>
        </w:rPr>
      </w:pPr>
      <w:r w:rsidRPr="006553B4">
        <w:rPr>
          <w:rFonts w:eastAsia="Times New Roman" w:cs="Times New Roman"/>
          <w:b/>
        </w:rPr>
        <w:t>Новое в законодательстве (</w:t>
      </w:r>
      <w:r w:rsidR="002D0854">
        <w:rPr>
          <w:rFonts w:eastAsia="Times New Roman" w:cs="Times New Roman"/>
          <w:b/>
        </w:rPr>
        <w:t xml:space="preserve">февраль </w:t>
      </w:r>
      <w:r w:rsidRPr="006553B4">
        <w:rPr>
          <w:rFonts w:eastAsia="Times New Roman" w:cs="Times New Roman"/>
          <w:b/>
        </w:rPr>
        <w:t>201</w:t>
      </w:r>
      <w:r>
        <w:rPr>
          <w:rFonts w:eastAsia="Times New Roman" w:cs="Times New Roman"/>
          <w:b/>
        </w:rPr>
        <w:t>6</w:t>
      </w:r>
      <w:r w:rsidRPr="006553B4">
        <w:rPr>
          <w:rFonts w:eastAsia="Times New Roman" w:cs="Times New Roman"/>
          <w:b/>
        </w:rPr>
        <w:t xml:space="preserve"> г.).</w:t>
      </w:r>
    </w:p>
    <w:p w:rsidR="003463EB" w:rsidRDefault="006252DE" w:rsidP="003463EB">
      <w:r>
        <w:rPr>
          <w:noProof/>
          <w:sz w:val="10"/>
          <w:szCs w:val="10"/>
          <w:lang w:eastAsia="ru-RU"/>
        </w:rPr>
        <w:drawing>
          <wp:inline distT="0" distB="0" distL="0" distR="0" wp14:anchorId="3375AD98" wp14:editId="44917A6F">
            <wp:extent cx="892800" cy="612000"/>
            <wp:effectExtent l="0" t="0" r="0" b="0"/>
            <wp:docPr id="4" name="Рисунок 4" descr="C:\Users\Natalia\Documents\Значок правовой культу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a\Documents\Значок правовой культур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00" cy="612000"/>
                    </a:xfrm>
                    <a:prstGeom prst="rect">
                      <a:avLst/>
                    </a:prstGeom>
                    <a:noFill/>
                    <a:ln>
                      <a:noFill/>
                    </a:ln>
                  </pic:spPr>
                </pic:pic>
              </a:graphicData>
            </a:graphic>
          </wp:inline>
        </w:drawing>
      </w:r>
      <w:bookmarkStart w:id="0" w:name="_GoBack"/>
      <w:bookmarkEnd w:id="0"/>
    </w:p>
    <w:p w:rsidR="00763C87" w:rsidRPr="00CB67F3" w:rsidRDefault="00CB67F3" w:rsidP="00763C87">
      <w:pPr>
        <w:tabs>
          <w:tab w:val="left" w:pos="709"/>
        </w:tabs>
      </w:pPr>
      <w:r>
        <w:tab/>
      </w:r>
      <w:r w:rsidR="00763C87" w:rsidRPr="00CB67F3">
        <w:t>Постановление Правительства РФ от 11</w:t>
      </w:r>
      <w:r>
        <w:t xml:space="preserve"> февраля </w:t>
      </w:r>
      <w:r w:rsidR="00763C87" w:rsidRPr="00CB67F3">
        <w:t>2016</w:t>
      </w:r>
      <w:r>
        <w:t xml:space="preserve"> г.№</w:t>
      </w:r>
      <w:r w:rsidR="00763C87" w:rsidRPr="00CB67F3">
        <w:t xml:space="preserve"> 97</w:t>
      </w:r>
      <w:r>
        <w:t xml:space="preserve"> «</w:t>
      </w:r>
      <w:r w:rsidR="00763C87" w:rsidRPr="00CB67F3">
        <w:t>О федеральных стандартах оплаты жилого помещения и коммуна</w:t>
      </w:r>
      <w:r>
        <w:t>льных услуг на 2016 - 2018 годы»</w:t>
      </w:r>
    </w:p>
    <w:p w:rsidR="00763C87" w:rsidRPr="00CB67F3" w:rsidRDefault="00763C87" w:rsidP="00763C87">
      <w:pPr>
        <w:tabs>
          <w:tab w:val="left" w:pos="709"/>
        </w:tabs>
        <w:rPr>
          <w:rFonts w:ascii="Arial" w:eastAsia="Times New Roman" w:hAnsi="Arial" w:cs="Arial"/>
          <w:b/>
          <w:bCs/>
          <w:color w:val="000000"/>
          <w:sz w:val="23"/>
          <w:szCs w:val="23"/>
          <w:lang w:eastAsia="ru-RU"/>
        </w:rPr>
      </w:pPr>
      <w:r w:rsidRPr="00CB67F3">
        <w:rPr>
          <w:rFonts w:ascii="Arial" w:eastAsia="Times New Roman" w:hAnsi="Arial" w:cs="Arial"/>
          <w:b/>
          <w:bCs/>
          <w:color w:val="000000"/>
          <w:sz w:val="23"/>
          <w:szCs w:val="23"/>
          <w:lang w:eastAsia="ru-RU"/>
        </w:rPr>
        <w:tab/>
        <w:t xml:space="preserve">Утверждены федеральные стандарты оплаты жилого помещения и коммунальных услуг в среднем по Российской Федерации на 2016 - 2018 годы </w:t>
      </w:r>
    </w:p>
    <w:p w:rsidR="00763C87" w:rsidRPr="00CB67F3" w:rsidRDefault="00763C87" w:rsidP="00763C87">
      <w:pPr>
        <w:tabs>
          <w:tab w:val="left" w:pos="709"/>
        </w:tabs>
        <w:rPr>
          <w:rFonts w:ascii="Arial" w:eastAsia="Times New Roman" w:hAnsi="Arial" w:cs="Arial"/>
          <w:b/>
          <w:bCs/>
          <w:color w:val="000000"/>
          <w:sz w:val="23"/>
          <w:szCs w:val="23"/>
          <w:lang w:eastAsia="ru-RU"/>
        </w:rPr>
      </w:pPr>
      <w:r w:rsidRPr="00CB67F3">
        <w:rPr>
          <w:rFonts w:ascii="Arial" w:eastAsia="Times New Roman" w:hAnsi="Arial" w:cs="Arial"/>
          <w:b/>
          <w:bCs/>
          <w:color w:val="000000"/>
          <w:sz w:val="23"/>
          <w:szCs w:val="23"/>
          <w:lang w:eastAsia="ru-RU"/>
        </w:rPr>
        <w:tab/>
        <w:t xml:space="preserve">В частности, федеральный стандарт предельной стоимости предоставляемых жилищно-коммунальных услуг на 1 кв. метр общей площади в месяц установлен на 2015 год в размере 126 рублей, на 2017 год - 132 рубля, на 2018 год - 137 рублей. Кроме того, установлены федеральные стандарты оплаты жилого помещения и коммунальных услуг по субъектам РФ на 2016 - 2018 годы. </w:t>
      </w:r>
    </w:p>
    <w:p w:rsidR="00763C87" w:rsidRPr="00CB67F3" w:rsidRDefault="00763C87" w:rsidP="00763C87">
      <w:pPr>
        <w:tabs>
          <w:tab w:val="left" w:pos="709"/>
        </w:tabs>
        <w:rPr>
          <w:rFonts w:ascii="Arial" w:eastAsia="Times New Roman" w:hAnsi="Arial" w:cs="Arial"/>
          <w:b/>
          <w:bCs/>
          <w:color w:val="000000"/>
          <w:sz w:val="23"/>
          <w:szCs w:val="23"/>
          <w:lang w:eastAsia="ru-RU"/>
        </w:rPr>
      </w:pPr>
      <w:r w:rsidRPr="00CB67F3">
        <w:rPr>
          <w:rFonts w:ascii="Arial" w:eastAsia="Times New Roman" w:hAnsi="Arial" w:cs="Arial"/>
          <w:b/>
          <w:bCs/>
          <w:color w:val="000000"/>
          <w:sz w:val="23"/>
          <w:szCs w:val="23"/>
          <w:lang w:eastAsia="ru-RU"/>
        </w:rPr>
        <w:tab/>
        <w:t xml:space="preserve">Федеральные стандарты устанавливаются в целях определения размера межбюджетных трансфертов, выделяемых из федерального бюджета бюджетам субъектов РФ, в том числе для оказания финансовой помощи по оплате жилых помещений и коммунальных услуг. </w:t>
      </w:r>
    </w:p>
    <w:p w:rsidR="00763C87" w:rsidRDefault="00763C87" w:rsidP="00763C87">
      <w:pPr>
        <w:tabs>
          <w:tab w:val="left" w:pos="709"/>
        </w:tabs>
      </w:pPr>
    </w:p>
    <w:p w:rsidR="001D0722" w:rsidRDefault="00281748" w:rsidP="001D0722">
      <w:pPr>
        <w:tabs>
          <w:tab w:val="left" w:pos="709"/>
        </w:tabs>
      </w:pPr>
      <w:r>
        <w:tab/>
      </w:r>
      <w:r w:rsidR="001D0722">
        <w:t>Приказ Министерства образования и науки РФ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Приказом вносятся изменения в федеральный государственный образовательный стандарт начального общего образования, в частности:</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 xml:space="preserve">1. </w:t>
      </w:r>
      <w:proofErr w:type="gramStart"/>
      <w:r w:rsidRPr="001D0722">
        <w:rPr>
          <w:rFonts w:ascii="Arial" w:eastAsia="Times New Roman" w:hAnsi="Arial" w:cs="Arial"/>
          <w:b/>
          <w:bCs/>
          <w:color w:val="000000"/>
          <w:sz w:val="23"/>
          <w:szCs w:val="23"/>
          <w:lang w:eastAsia="ru-RU"/>
        </w:rPr>
        <w:t>«Русский язык и литературное чтение», «Родной язык и литературное чтение на родном языке» и «Иностранный язык» выделены в самостоятельные предметные области.</w:t>
      </w:r>
      <w:proofErr w:type="gramEnd"/>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При этом</w:t>
      </w:r>
      <w:proofErr w:type="gramStart"/>
      <w:r w:rsidRPr="001D0722">
        <w:rPr>
          <w:rFonts w:ascii="Arial" w:eastAsia="Times New Roman" w:hAnsi="Arial" w:cs="Arial"/>
          <w:b/>
          <w:bCs/>
          <w:color w:val="000000"/>
          <w:sz w:val="23"/>
          <w:szCs w:val="23"/>
          <w:lang w:eastAsia="ru-RU"/>
        </w:rPr>
        <w:t>,</w:t>
      </w:r>
      <w:proofErr w:type="gramEnd"/>
      <w:r w:rsidRPr="001D0722">
        <w:rPr>
          <w:rFonts w:ascii="Arial" w:eastAsia="Times New Roman" w:hAnsi="Arial" w:cs="Arial"/>
          <w:b/>
          <w:bCs/>
          <w:color w:val="000000"/>
          <w:sz w:val="23"/>
          <w:szCs w:val="23"/>
          <w:lang w:eastAsia="ru-RU"/>
        </w:rPr>
        <w:t xml:space="preserve"> требования к результатам освоения по предметным областям «Русский язык и литературное чтение» и «Иностранный язык» не изменились. Для предметной области «Родной язык и литературное чтение на родном языке» установлены отдельные требования.</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2. Рабочие программы учебных предметов, курсов, и должны содержать:</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1) планируемые результаты освоения учебного предмета, курса;</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2) содержание учебного предмета, курса;</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3) тематическое планирование с указанием количества часов, отводимых на освоение каждой темы.</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При этом</w:t>
      </w:r>
      <w:proofErr w:type="gramStart"/>
      <w:r w:rsidRPr="001D0722">
        <w:rPr>
          <w:rFonts w:ascii="Arial" w:eastAsia="Times New Roman" w:hAnsi="Arial" w:cs="Arial"/>
          <w:b/>
          <w:bCs/>
          <w:color w:val="000000"/>
          <w:sz w:val="23"/>
          <w:szCs w:val="23"/>
          <w:lang w:eastAsia="ru-RU"/>
        </w:rPr>
        <w:t>,</w:t>
      </w:r>
      <w:proofErr w:type="gramEnd"/>
      <w:r w:rsidRPr="001D0722">
        <w:rPr>
          <w:rFonts w:ascii="Arial" w:eastAsia="Times New Roman" w:hAnsi="Arial" w:cs="Arial"/>
          <w:b/>
          <w:bCs/>
          <w:color w:val="000000"/>
          <w:sz w:val="23"/>
          <w:szCs w:val="23"/>
          <w:lang w:eastAsia="ru-RU"/>
        </w:rPr>
        <w:t xml:space="preserve"> исключена необходимость указания в программе общих целей, характеристики учебного предмета, курса, описания ценностных ориентиров, материально-технического обеспечения.</w:t>
      </w:r>
    </w:p>
    <w:p w:rsidR="001D0722" w:rsidRDefault="001D0722" w:rsidP="001D0722">
      <w:pPr>
        <w:tabs>
          <w:tab w:val="left" w:pos="709"/>
        </w:tabs>
      </w:pPr>
    </w:p>
    <w:p w:rsidR="001D0722" w:rsidRDefault="001D0722" w:rsidP="001D0722">
      <w:pPr>
        <w:tabs>
          <w:tab w:val="left" w:pos="709"/>
        </w:tabs>
      </w:pPr>
      <w:r>
        <w:tab/>
        <w:t>Приказ Министерства образования и науки РФ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Приказом  вносятся изменения в федеральный государственный образовательный стандарт основного общего образования, в частности:</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lastRenderedPageBreak/>
        <w:tab/>
      </w:r>
      <w:r w:rsidRPr="001D0722">
        <w:rPr>
          <w:rFonts w:ascii="Arial" w:eastAsia="Times New Roman" w:hAnsi="Arial" w:cs="Arial"/>
          <w:b/>
          <w:bCs/>
          <w:color w:val="000000"/>
          <w:sz w:val="23"/>
          <w:szCs w:val="23"/>
          <w:lang w:eastAsia="ru-RU"/>
        </w:rPr>
        <w:t xml:space="preserve">1. </w:t>
      </w:r>
      <w:proofErr w:type="gramStart"/>
      <w:r w:rsidRPr="001D0722">
        <w:rPr>
          <w:rFonts w:ascii="Arial" w:eastAsia="Times New Roman" w:hAnsi="Arial" w:cs="Arial"/>
          <w:b/>
          <w:bCs/>
          <w:color w:val="000000"/>
          <w:sz w:val="23"/>
          <w:szCs w:val="23"/>
          <w:lang w:eastAsia="ru-RU"/>
        </w:rPr>
        <w:t>Установлены специальные требования к результатам освоения адаптированной образовательной программы основного общего образования для глухих, слабослышащих, позднооглохших обучающихся,  для обучающихся с нарушениями опорно-двигательного аппарата, для обучающихся с расстройствами аутистического спектра.</w:t>
      </w:r>
      <w:proofErr w:type="gramEnd"/>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2.    Уточнены требования к результатам освоения по предметным областям «Русский язык и литература» и «Иностранный язык. Второй иностранный язык». Для предметной области «Родной язык и родная литература» установлены отдельные требования.</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 xml:space="preserve">При этом «Русский язык и литература», «Родной язык и родная литература» и «Иностранный язык. </w:t>
      </w:r>
      <w:proofErr w:type="gramStart"/>
      <w:r w:rsidRPr="001D0722">
        <w:rPr>
          <w:rFonts w:ascii="Arial" w:eastAsia="Times New Roman" w:hAnsi="Arial" w:cs="Arial"/>
          <w:b/>
          <w:bCs/>
          <w:color w:val="000000"/>
          <w:sz w:val="23"/>
          <w:szCs w:val="23"/>
          <w:lang w:eastAsia="ru-RU"/>
        </w:rPr>
        <w:t xml:space="preserve">Второй иностранный язык» выделены в самостоятельные предметные области. </w:t>
      </w:r>
      <w:proofErr w:type="gramEnd"/>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Одновременно внесены соответствующие изменения в требования к содержанию учебного плана.</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 xml:space="preserve">3.  Уточнены требования к результатам освоения по предметной области «Математика. Алгебра. Геометрия. Информатика». </w:t>
      </w:r>
      <w:proofErr w:type="gramStart"/>
      <w:r w:rsidRPr="001D0722">
        <w:rPr>
          <w:rFonts w:ascii="Arial" w:eastAsia="Times New Roman" w:hAnsi="Arial" w:cs="Arial"/>
          <w:b/>
          <w:bCs/>
          <w:color w:val="000000"/>
          <w:sz w:val="23"/>
          <w:szCs w:val="23"/>
          <w:lang w:eastAsia="ru-RU"/>
        </w:rPr>
        <w:t>Также установлены отдельные требования для слепых и слабовидящих обучающихся и для обучающихся с нарушениями опорно-двигательного аппарата.</w:t>
      </w:r>
      <w:proofErr w:type="gramEnd"/>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 xml:space="preserve">4.     </w:t>
      </w:r>
      <w:proofErr w:type="gramStart"/>
      <w:r w:rsidRPr="001D0722">
        <w:rPr>
          <w:rFonts w:ascii="Arial" w:eastAsia="Times New Roman" w:hAnsi="Arial" w:cs="Arial"/>
          <w:b/>
          <w:bCs/>
          <w:color w:val="000000"/>
          <w:sz w:val="23"/>
          <w:szCs w:val="23"/>
          <w:lang w:eastAsia="ru-RU"/>
        </w:rPr>
        <w:t>Установлены отдельные требования к результатам освоения по предметным областям "Естественнонаучные предметы" и «Физическая культура и основы безопасности жизнедеятельности» для обучающихся с ограниченными возможностями здоровья, для слепых и слабовидящих обучающихся, для обучающихся с нарушениями опорно-двигательного аппарата.</w:t>
      </w:r>
      <w:proofErr w:type="gramEnd"/>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5.      Рабочие программы учебных предметов (курсов) должны содержать:</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1) планируемые результаты освоения учебного предмета, курса;</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2) содержание учебного предмета, курса;</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3) тематическое планирование с указанием количества часов, отводимых на освоение каждой темы.</w:t>
      </w:r>
    </w:p>
    <w:p w:rsidR="001D0722" w:rsidRPr="001D0722" w:rsidRDefault="001D0722" w:rsidP="001D0722">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1D0722">
        <w:rPr>
          <w:rFonts w:ascii="Arial" w:eastAsia="Times New Roman" w:hAnsi="Arial" w:cs="Arial"/>
          <w:b/>
          <w:bCs/>
          <w:color w:val="000000"/>
          <w:sz w:val="23"/>
          <w:szCs w:val="23"/>
          <w:lang w:eastAsia="ru-RU"/>
        </w:rPr>
        <w:t>При этом</w:t>
      </w:r>
      <w:proofErr w:type="gramStart"/>
      <w:r w:rsidRPr="001D0722">
        <w:rPr>
          <w:rFonts w:ascii="Arial" w:eastAsia="Times New Roman" w:hAnsi="Arial" w:cs="Arial"/>
          <w:b/>
          <w:bCs/>
          <w:color w:val="000000"/>
          <w:sz w:val="23"/>
          <w:szCs w:val="23"/>
          <w:lang w:eastAsia="ru-RU"/>
        </w:rPr>
        <w:t>,</w:t>
      </w:r>
      <w:proofErr w:type="gramEnd"/>
      <w:r w:rsidRPr="001D0722">
        <w:rPr>
          <w:rFonts w:ascii="Arial" w:eastAsia="Times New Roman" w:hAnsi="Arial" w:cs="Arial"/>
          <w:b/>
          <w:bCs/>
          <w:color w:val="000000"/>
          <w:sz w:val="23"/>
          <w:szCs w:val="23"/>
          <w:lang w:eastAsia="ru-RU"/>
        </w:rPr>
        <w:t xml:space="preserve"> исключена необходимость указания в программе общих целей, характеристики учебного предмета, курса, описания места учебного предмета, курса в учебном плане, материально-технического обеспечения.</w:t>
      </w:r>
    </w:p>
    <w:p w:rsidR="001D0722" w:rsidRDefault="001D0722" w:rsidP="001D0722">
      <w:pPr>
        <w:tabs>
          <w:tab w:val="left" w:pos="709"/>
        </w:tabs>
      </w:pPr>
    </w:p>
    <w:p w:rsidR="00281748" w:rsidRDefault="00281748" w:rsidP="00281748">
      <w:pPr>
        <w:tabs>
          <w:tab w:val="left" w:pos="709"/>
        </w:tabs>
      </w:pPr>
      <w:r>
        <w:tab/>
        <w:t xml:space="preserve">Приказ </w:t>
      </w:r>
      <w:proofErr w:type="spellStart"/>
      <w:r>
        <w:t>Рособрнадзора</w:t>
      </w:r>
      <w:proofErr w:type="spellEnd"/>
      <w:r>
        <w:t xml:space="preserve"> от 02 февраля 2016 г. № 134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N 785»</w:t>
      </w:r>
    </w:p>
    <w:p w:rsidR="00281748" w:rsidRPr="00281748" w:rsidRDefault="00281748" w:rsidP="00281748">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281748">
        <w:rPr>
          <w:rFonts w:ascii="Arial" w:eastAsia="Times New Roman" w:hAnsi="Arial" w:cs="Arial"/>
          <w:b/>
          <w:bCs/>
          <w:color w:val="000000"/>
          <w:sz w:val="23"/>
          <w:szCs w:val="23"/>
          <w:lang w:eastAsia="ru-RU"/>
        </w:rPr>
        <w:t>На сайтах школ и дошкольных учреждений должны размещаться сведения о размере платы за присмотр и уход за детьми</w:t>
      </w:r>
    </w:p>
    <w:p w:rsidR="00281748" w:rsidRPr="00281748" w:rsidRDefault="00281748" w:rsidP="00281748">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281748">
        <w:rPr>
          <w:rFonts w:ascii="Arial" w:eastAsia="Times New Roman" w:hAnsi="Arial" w:cs="Arial"/>
          <w:b/>
          <w:bCs/>
          <w:color w:val="000000"/>
          <w:sz w:val="23"/>
          <w:szCs w:val="23"/>
          <w:lang w:eastAsia="ru-RU"/>
        </w:rPr>
        <w:t>Установлено, что на сайтах указанных организаций в разделе "Сведения об образовательной организации", подразделе "Документы" должны размещаться документы об установлении размера платы, взимаемой с родителей (законных представителей):</w:t>
      </w:r>
    </w:p>
    <w:p w:rsidR="00281748" w:rsidRPr="00281748" w:rsidRDefault="00281748" w:rsidP="00281748">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Pr="00281748">
        <w:rPr>
          <w:rFonts w:ascii="Arial" w:eastAsia="Times New Roman" w:hAnsi="Arial" w:cs="Arial"/>
          <w:b/>
          <w:bCs/>
          <w:color w:val="000000"/>
          <w:sz w:val="23"/>
          <w:szCs w:val="23"/>
          <w:lang w:eastAsia="ru-RU"/>
        </w:rPr>
        <w:t>- за присмотр и уход за детьми, осваивающими программы дошкольного образования в организациях, осуществляющих образовательную деятельность;</w:t>
      </w:r>
    </w:p>
    <w:p w:rsidR="00763C87" w:rsidRPr="00CB67F3" w:rsidRDefault="00281748" w:rsidP="00763C87">
      <w:pPr>
        <w:tabs>
          <w:tab w:val="left" w:pos="709"/>
        </w:tabs>
      </w:pPr>
      <w:r>
        <w:rPr>
          <w:rFonts w:ascii="Arial" w:eastAsia="Times New Roman" w:hAnsi="Arial" w:cs="Arial"/>
          <w:b/>
          <w:bCs/>
          <w:color w:val="000000"/>
          <w:sz w:val="23"/>
          <w:szCs w:val="23"/>
          <w:lang w:eastAsia="ru-RU"/>
        </w:rPr>
        <w:tab/>
      </w:r>
      <w:proofErr w:type="gramStart"/>
      <w:r w:rsidRPr="00281748">
        <w:rPr>
          <w:rFonts w:ascii="Arial" w:eastAsia="Times New Roman" w:hAnsi="Arial" w:cs="Arial"/>
          <w:b/>
          <w:bCs/>
          <w:color w:val="000000"/>
          <w:sz w:val="23"/>
          <w:szCs w:val="23"/>
          <w:lang w:eastAsia="ru-RU"/>
        </w:rPr>
        <w:t xml:space="preserve">- за содержание детей в образовательной организации, реализующей программы начального общего, основного общего или среднего общего образования, если в такой организации созданы условия для проживания </w:t>
      </w:r>
      <w:r w:rsidRPr="00281748">
        <w:rPr>
          <w:rFonts w:ascii="Arial" w:eastAsia="Times New Roman" w:hAnsi="Arial" w:cs="Arial"/>
          <w:b/>
          <w:bCs/>
          <w:color w:val="000000"/>
          <w:sz w:val="23"/>
          <w:szCs w:val="23"/>
          <w:lang w:eastAsia="ru-RU"/>
        </w:rPr>
        <w:lastRenderedPageBreak/>
        <w:t>обучающихся в интернате, либо за осуществление присмотра и ухода за детьми в группах продленного дня в организации, реализующей программы начального общего, основного общего или среднего общего образования.</w:t>
      </w:r>
      <w:proofErr w:type="gramEnd"/>
      <w:r w:rsidR="00CB67F3">
        <w:tab/>
      </w:r>
      <w:proofErr w:type="gramStart"/>
      <w:r w:rsidR="00CB67F3" w:rsidRPr="00CB67F3">
        <w:t xml:space="preserve">Приказ Министерства труда и социальной защиты РФ </w:t>
      </w:r>
      <w:r w:rsidR="00763C87" w:rsidRPr="00CB67F3">
        <w:t>от 27</w:t>
      </w:r>
      <w:r w:rsidR="00CB67F3">
        <w:t xml:space="preserve"> января </w:t>
      </w:r>
      <w:r w:rsidR="00763C87" w:rsidRPr="00CB67F3">
        <w:t>2016</w:t>
      </w:r>
      <w:r w:rsidR="00CB67F3">
        <w:t xml:space="preserve"> г. №</w:t>
      </w:r>
      <w:r w:rsidR="00763C87" w:rsidRPr="00CB67F3">
        <w:t xml:space="preserve"> 24н</w:t>
      </w:r>
      <w:r w:rsidR="00CB67F3">
        <w:t xml:space="preserve"> «</w:t>
      </w:r>
      <w:r w:rsidR="00763C87" w:rsidRPr="00CB67F3">
        <w:t>О внесении изменений в Правила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w:t>
      </w:r>
      <w:proofErr w:type="gramEnd"/>
      <w:r w:rsidR="00763C87" w:rsidRPr="00CB67F3">
        <w:t xml:space="preserve"> пенсии, утвержденные Приказом Министерства труда и социальной защиты Российской Федера</w:t>
      </w:r>
      <w:r w:rsidR="00CB67F3">
        <w:t>ции от 17 ноября 2014 г. N 885н»</w:t>
      </w:r>
    </w:p>
    <w:p w:rsidR="00763C87" w:rsidRPr="00CB67F3" w:rsidRDefault="00763C87" w:rsidP="00763C87">
      <w:pPr>
        <w:tabs>
          <w:tab w:val="left" w:pos="709"/>
        </w:tabs>
        <w:rPr>
          <w:rFonts w:ascii="Arial" w:eastAsia="Times New Roman" w:hAnsi="Arial" w:cs="Arial"/>
          <w:b/>
          <w:bCs/>
          <w:color w:val="000000"/>
          <w:sz w:val="23"/>
          <w:szCs w:val="23"/>
          <w:lang w:eastAsia="ru-RU"/>
        </w:rPr>
      </w:pPr>
      <w:r w:rsidRPr="00CB67F3">
        <w:rPr>
          <w:rFonts w:ascii="Arial" w:eastAsia="Times New Roman" w:hAnsi="Arial" w:cs="Arial"/>
          <w:b/>
          <w:bCs/>
          <w:color w:val="000000"/>
          <w:sz w:val="23"/>
          <w:szCs w:val="23"/>
          <w:lang w:eastAsia="ru-RU"/>
        </w:rPr>
        <w:tab/>
        <w:t>Установлены особенности исчисления и выплаты пенсии работающим пенсионерам</w:t>
      </w:r>
    </w:p>
    <w:p w:rsidR="00763C87" w:rsidRPr="00CB67F3" w:rsidRDefault="00763C87" w:rsidP="00763C87">
      <w:pPr>
        <w:tabs>
          <w:tab w:val="left" w:pos="709"/>
        </w:tabs>
        <w:rPr>
          <w:rFonts w:ascii="Arial" w:eastAsia="Times New Roman" w:hAnsi="Arial" w:cs="Arial"/>
          <w:b/>
          <w:bCs/>
          <w:color w:val="000000"/>
          <w:sz w:val="23"/>
          <w:szCs w:val="23"/>
          <w:lang w:eastAsia="ru-RU"/>
        </w:rPr>
      </w:pPr>
      <w:r w:rsidRPr="00CB67F3">
        <w:rPr>
          <w:rFonts w:ascii="Arial" w:eastAsia="Times New Roman" w:hAnsi="Arial" w:cs="Arial"/>
          <w:b/>
          <w:bCs/>
          <w:color w:val="000000"/>
          <w:sz w:val="23"/>
          <w:szCs w:val="23"/>
          <w:lang w:eastAsia="ru-RU"/>
        </w:rPr>
        <w:tab/>
        <w:t>В соответствии с изменениями в пенсионном законодательстве, с 2016 года работающие пенсионеры получают страховую пенсию и фиксированную выплату к ней без учета плановых индексаций. Эта норма закона распространяется только на получателей страховых пенсий.</w:t>
      </w:r>
    </w:p>
    <w:p w:rsidR="00763C87" w:rsidRPr="00CB67F3" w:rsidRDefault="00763C87" w:rsidP="00763C87">
      <w:pPr>
        <w:tabs>
          <w:tab w:val="left" w:pos="709"/>
        </w:tabs>
        <w:rPr>
          <w:rFonts w:ascii="Arial" w:eastAsia="Times New Roman" w:hAnsi="Arial" w:cs="Arial"/>
          <w:b/>
          <w:bCs/>
          <w:color w:val="000000"/>
          <w:sz w:val="23"/>
          <w:szCs w:val="23"/>
          <w:lang w:eastAsia="ru-RU"/>
        </w:rPr>
      </w:pPr>
      <w:r w:rsidRPr="00CB67F3">
        <w:rPr>
          <w:rFonts w:ascii="Arial" w:eastAsia="Times New Roman" w:hAnsi="Arial" w:cs="Arial"/>
          <w:b/>
          <w:bCs/>
          <w:color w:val="000000"/>
          <w:sz w:val="23"/>
          <w:szCs w:val="23"/>
          <w:lang w:eastAsia="ru-RU"/>
        </w:rPr>
        <w:tab/>
        <w:t>В этой связи Правила выплаты пенсий дополнены положениями, устанавливающими порядок принятия решения (пересмотра ранее вынесенного решения) о выплате сумм страховой пенсии, фиксированной выплаты к страховой пенсии (с учетом повышения фиксированной выплаты) пенсионерам, осуществляющим (прекратившим) работу и (или) иную деятельность, в период которой они подлежат обязательному пенсионному страхованию.</w:t>
      </w:r>
    </w:p>
    <w:p w:rsidR="00763C87" w:rsidRPr="00CB67F3" w:rsidRDefault="00763C87" w:rsidP="00763C87">
      <w:pPr>
        <w:tabs>
          <w:tab w:val="left" w:pos="709"/>
        </w:tabs>
        <w:rPr>
          <w:rFonts w:ascii="Arial" w:eastAsia="Times New Roman" w:hAnsi="Arial" w:cs="Arial"/>
          <w:b/>
          <w:bCs/>
          <w:color w:val="000000"/>
          <w:sz w:val="23"/>
          <w:szCs w:val="23"/>
          <w:lang w:eastAsia="ru-RU"/>
        </w:rPr>
      </w:pPr>
      <w:r w:rsidRPr="00CB67F3">
        <w:rPr>
          <w:rFonts w:ascii="Arial" w:eastAsia="Times New Roman" w:hAnsi="Arial" w:cs="Arial"/>
          <w:b/>
          <w:bCs/>
          <w:color w:val="000000"/>
          <w:sz w:val="23"/>
          <w:szCs w:val="23"/>
          <w:lang w:eastAsia="ru-RU"/>
        </w:rPr>
        <w:tab/>
        <w:t>Установлено, что определение размера сумм страховой пенсии, подлежащих выплате работающим (прекратившим трудовую или иную деятельность) пенсионерам, производится на основании сведений, учтенных на индивидуальном лицевом счете застрахованного лица.</w:t>
      </w:r>
    </w:p>
    <w:p w:rsidR="00763C87" w:rsidRDefault="00763C87" w:rsidP="00763C87">
      <w:pPr>
        <w:tabs>
          <w:tab w:val="left" w:pos="709"/>
        </w:tabs>
      </w:pPr>
    </w:p>
    <w:p w:rsidR="00763C87" w:rsidRPr="009734FD" w:rsidRDefault="009734FD" w:rsidP="00763C87">
      <w:pPr>
        <w:tabs>
          <w:tab w:val="left" w:pos="709"/>
        </w:tabs>
      </w:pPr>
      <w:r>
        <w:tab/>
      </w:r>
      <w:r w:rsidR="00763C87" w:rsidRPr="009734FD">
        <w:t>Приказ Мин</w:t>
      </w:r>
      <w:r w:rsidRPr="009734FD">
        <w:t xml:space="preserve">истерства </w:t>
      </w:r>
      <w:r w:rsidR="00763C87" w:rsidRPr="009734FD">
        <w:t>спорта Р</w:t>
      </w:r>
      <w:r w:rsidRPr="009734FD">
        <w:t>Ф</w:t>
      </w:r>
      <w:r w:rsidR="00763C87" w:rsidRPr="009734FD">
        <w:t xml:space="preserve"> от 25</w:t>
      </w:r>
      <w:r>
        <w:t xml:space="preserve"> декабря </w:t>
      </w:r>
      <w:r w:rsidR="00763C87" w:rsidRPr="009734FD">
        <w:t>2015</w:t>
      </w:r>
      <w:r>
        <w:t xml:space="preserve"> г. №</w:t>
      </w:r>
      <w:r w:rsidR="00763C87" w:rsidRPr="009734FD">
        <w:t xml:space="preserve"> 1248</w:t>
      </w:r>
      <w:r>
        <w:t xml:space="preserve"> «</w:t>
      </w:r>
      <w:r w:rsidR="00763C87" w:rsidRPr="009734FD">
        <w:t xml:space="preserve">Об утверждении рекомендаций для работодателей по организации, подготовке и выполнению нормативов Всероссийского физкультурно-спортивного комплекса </w:t>
      </w:r>
      <w:r>
        <w:t>«</w:t>
      </w:r>
      <w:r w:rsidR="00763C87" w:rsidRPr="009734FD">
        <w:t>Готов к труду и обороне</w:t>
      </w:r>
      <w:r>
        <w:t>»</w:t>
      </w:r>
      <w:r w:rsidR="00763C87" w:rsidRPr="009734FD">
        <w:t xml:space="preserve"> (ГТО) для лиц, осуще</w:t>
      </w:r>
      <w:r>
        <w:t>ствляющих трудовую деятельность»</w:t>
      </w:r>
    </w:p>
    <w:p w:rsidR="00763C87" w:rsidRPr="009734FD" w:rsidRDefault="00763C87" w:rsidP="00763C87">
      <w:pPr>
        <w:tabs>
          <w:tab w:val="left" w:pos="709"/>
        </w:tabs>
        <w:rPr>
          <w:rFonts w:ascii="Arial" w:eastAsia="Times New Roman" w:hAnsi="Arial" w:cs="Arial"/>
          <w:b/>
          <w:bCs/>
          <w:color w:val="000000"/>
          <w:sz w:val="23"/>
          <w:szCs w:val="23"/>
          <w:lang w:eastAsia="ru-RU"/>
        </w:rPr>
      </w:pPr>
      <w:r w:rsidRPr="009734FD">
        <w:rPr>
          <w:rFonts w:ascii="Arial" w:eastAsia="Times New Roman" w:hAnsi="Arial" w:cs="Arial"/>
          <w:b/>
          <w:bCs/>
          <w:color w:val="000000"/>
          <w:sz w:val="23"/>
          <w:szCs w:val="23"/>
          <w:lang w:eastAsia="ru-RU"/>
        </w:rPr>
        <w:tab/>
      </w:r>
      <w:proofErr w:type="spellStart"/>
      <w:r w:rsidRPr="009734FD">
        <w:rPr>
          <w:rFonts w:ascii="Arial" w:eastAsia="Times New Roman" w:hAnsi="Arial" w:cs="Arial"/>
          <w:b/>
          <w:bCs/>
          <w:color w:val="000000"/>
          <w:sz w:val="23"/>
          <w:szCs w:val="23"/>
          <w:lang w:eastAsia="ru-RU"/>
        </w:rPr>
        <w:t>Минспортом</w:t>
      </w:r>
      <w:proofErr w:type="spellEnd"/>
      <w:r w:rsidRPr="009734FD">
        <w:rPr>
          <w:rFonts w:ascii="Arial" w:eastAsia="Times New Roman" w:hAnsi="Arial" w:cs="Arial"/>
          <w:b/>
          <w:bCs/>
          <w:color w:val="000000"/>
          <w:sz w:val="23"/>
          <w:szCs w:val="23"/>
          <w:lang w:eastAsia="ru-RU"/>
        </w:rPr>
        <w:t xml:space="preserve"> России подготовлены рекомендации работодателям по организации подготовки работников к выполнению нормативов комплекса "Готов к труду и обороне" (ГТО)</w:t>
      </w:r>
      <w:r w:rsidR="009734FD">
        <w:rPr>
          <w:rFonts w:ascii="Arial" w:eastAsia="Times New Roman" w:hAnsi="Arial" w:cs="Arial"/>
          <w:b/>
          <w:bCs/>
          <w:color w:val="000000"/>
          <w:sz w:val="23"/>
          <w:szCs w:val="23"/>
          <w:lang w:eastAsia="ru-RU"/>
        </w:rPr>
        <w:t>.</w:t>
      </w:r>
    </w:p>
    <w:p w:rsidR="00763C87" w:rsidRPr="009734FD" w:rsidRDefault="00763C87" w:rsidP="00763C87">
      <w:pPr>
        <w:tabs>
          <w:tab w:val="left" w:pos="709"/>
        </w:tabs>
        <w:rPr>
          <w:rFonts w:ascii="Arial" w:eastAsia="Times New Roman" w:hAnsi="Arial" w:cs="Arial"/>
          <w:b/>
          <w:bCs/>
          <w:color w:val="000000"/>
          <w:sz w:val="23"/>
          <w:szCs w:val="23"/>
          <w:lang w:eastAsia="ru-RU"/>
        </w:rPr>
      </w:pPr>
      <w:r w:rsidRPr="009734FD">
        <w:rPr>
          <w:rFonts w:ascii="Arial" w:eastAsia="Times New Roman" w:hAnsi="Arial" w:cs="Arial"/>
          <w:b/>
          <w:bCs/>
          <w:color w:val="000000"/>
          <w:sz w:val="23"/>
          <w:szCs w:val="23"/>
          <w:lang w:eastAsia="ru-RU"/>
        </w:rPr>
        <w:tab/>
        <w:t xml:space="preserve">В частности, рекомендуется выполнить следующие мероприятия: </w:t>
      </w:r>
    </w:p>
    <w:p w:rsidR="00763C87" w:rsidRPr="009734FD" w:rsidRDefault="009734FD" w:rsidP="00763C87">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00763C87" w:rsidRPr="009734FD">
        <w:rPr>
          <w:rFonts w:ascii="Arial" w:eastAsia="Times New Roman" w:hAnsi="Arial" w:cs="Arial"/>
          <w:b/>
          <w:bCs/>
          <w:color w:val="000000"/>
          <w:sz w:val="23"/>
          <w:szCs w:val="23"/>
          <w:lang w:eastAsia="ru-RU"/>
        </w:rPr>
        <w:t xml:space="preserve">- включение в планы работы организации, положения, графики и регламенты о проведении корпоративных спартакиад, фестивалей, праздников, иных мероприятий, мер, направленных на подготовку, включая самостоятельную подготовку, работников к выполнению ГТО; </w:t>
      </w:r>
    </w:p>
    <w:p w:rsidR="00763C87" w:rsidRPr="009734FD" w:rsidRDefault="009734FD" w:rsidP="00763C87">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00763C87" w:rsidRPr="009734FD">
        <w:rPr>
          <w:rFonts w:ascii="Arial" w:eastAsia="Times New Roman" w:hAnsi="Arial" w:cs="Arial"/>
          <w:b/>
          <w:bCs/>
          <w:color w:val="000000"/>
          <w:sz w:val="23"/>
          <w:szCs w:val="23"/>
          <w:lang w:eastAsia="ru-RU"/>
        </w:rPr>
        <w:t xml:space="preserve">- закрепление в локальных нормативных актах организации мероприятий, направленных на подготовку и выполнение нормативов ГТО, организацию недельной двигательной активности работников; </w:t>
      </w:r>
    </w:p>
    <w:p w:rsidR="00763C87" w:rsidRPr="009734FD" w:rsidRDefault="009734FD" w:rsidP="00763C87">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proofErr w:type="gramStart"/>
      <w:r w:rsidR="00763C87" w:rsidRPr="009734FD">
        <w:rPr>
          <w:rFonts w:ascii="Arial" w:eastAsia="Times New Roman" w:hAnsi="Arial" w:cs="Arial"/>
          <w:b/>
          <w:bCs/>
          <w:color w:val="000000"/>
          <w:sz w:val="23"/>
          <w:szCs w:val="23"/>
          <w:lang w:eastAsia="ru-RU"/>
        </w:rPr>
        <w:t xml:space="preserve">- установление мер материального и нематериального поощрения работников (стимулирующие выплаты, премии, награждение благодарственными письмами, почетными грамотами, предоставление дополнительного оплачиваемого отпуска для участия в мероприятиях комплекса ГТО и др.) за деятельность, связанную с подготовкой работников и </w:t>
      </w:r>
      <w:r w:rsidR="00763C87" w:rsidRPr="009734FD">
        <w:rPr>
          <w:rFonts w:ascii="Arial" w:eastAsia="Times New Roman" w:hAnsi="Arial" w:cs="Arial"/>
          <w:b/>
          <w:bCs/>
          <w:color w:val="000000"/>
          <w:sz w:val="23"/>
          <w:szCs w:val="23"/>
          <w:lang w:eastAsia="ru-RU"/>
        </w:rPr>
        <w:lastRenderedPageBreak/>
        <w:t xml:space="preserve">членов их семей к выполнению ГТО, а также личное участие в тестировании физической подготовленности в центрах тестирования ГТО; </w:t>
      </w:r>
      <w:proofErr w:type="gramEnd"/>
    </w:p>
    <w:p w:rsidR="00763C87" w:rsidRPr="009734FD" w:rsidRDefault="009734FD" w:rsidP="00763C87">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00763C87" w:rsidRPr="009734FD">
        <w:rPr>
          <w:rFonts w:ascii="Arial" w:eastAsia="Times New Roman" w:hAnsi="Arial" w:cs="Arial"/>
          <w:b/>
          <w:bCs/>
          <w:color w:val="000000"/>
          <w:sz w:val="23"/>
          <w:szCs w:val="23"/>
          <w:lang w:eastAsia="ru-RU"/>
        </w:rPr>
        <w:t xml:space="preserve">- разработка и утверждение порядка компенсации работникам оплаты занятий в спортивных клубах на основании Приказа Минтруда России от 16.06.2014 N 375н; </w:t>
      </w:r>
    </w:p>
    <w:p w:rsidR="00763C87" w:rsidRPr="009734FD" w:rsidRDefault="009734FD" w:rsidP="00763C87">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00763C87" w:rsidRPr="009734FD">
        <w:rPr>
          <w:rFonts w:ascii="Arial" w:eastAsia="Times New Roman" w:hAnsi="Arial" w:cs="Arial"/>
          <w:b/>
          <w:bCs/>
          <w:color w:val="000000"/>
          <w:sz w:val="23"/>
          <w:szCs w:val="23"/>
          <w:lang w:eastAsia="ru-RU"/>
        </w:rPr>
        <w:t xml:space="preserve">- использование возможностей отнесения затрат на организацию и проведение физкультурно-оздоровительных и спортивных мероприятий по внедрению ГТО в состав прочих расходов с целью уменьшения налоговой базы; </w:t>
      </w:r>
    </w:p>
    <w:p w:rsidR="00763C87" w:rsidRPr="009734FD" w:rsidRDefault="009734FD" w:rsidP="00763C87">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r>
      <w:r w:rsidR="00763C87" w:rsidRPr="009734FD">
        <w:rPr>
          <w:rFonts w:ascii="Arial" w:eastAsia="Times New Roman" w:hAnsi="Arial" w:cs="Arial"/>
          <w:b/>
          <w:bCs/>
          <w:color w:val="000000"/>
          <w:sz w:val="23"/>
          <w:szCs w:val="23"/>
          <w:lang w:eastAsia="ru-RU"/>
        </w:rPr>
        <w:t>- организация получения работниками медицинского заключения о допуске к занятиям физической культурой, массовым спортом и выполнению ГТО в ведомственных амбулаторно-поликлинических учреждениях с учетом результатов медицинских осмотров.</w:t>
      </w:r>
    </w:p>
    <w:p w:rsidR="0013036E" w:rsidRPr="009734FD" w:rsidRDefault="009734FD" w:rsidP="0013036E">
      <w:pPr>
        <w:tabs>
          <w:tab w:val="left" w:pos="709"/>
        </w:tabs>
        <w:rPr>
          <w:rFonts w:ascii="Arial" w:eastAsia="Times New Roman" w:hAnsi="Arial" w:cs="Arial"/>
          <w:b/>
          <w:bCs/>
          <w:color w:val="000000"/>
          <w:sz w:val="23"/>
          <w:szCs w:val="23"/>
          <w:lang w:eastAsia="ru-RU"/>
        </w:rPr>
      </w:pPr>
      <w:r>
        <w:tab/>
      </w:r>
    </w:p>
    <w:p w:rsidR="00763C87" w:rsidRPr="009734FD" w:rsidRDefault="009734FD" w:rsidP="00763C87">
      <w:pPr>
        <w:tabs>
          <w:tab w:val="left" w:pos="709"/>
        </w:tabs>
      </w:pPr>
      <w:r>
        <w:tab/>
      </w:r>
      <w:r w:rsidR="00763C87" w:rsidRPr="009734FD">
        <w:t xml:space="preserve">Приказ </w:t>
      </w:r>
      <w:r w:rsidRPr="009734FD">
        <w:t xml:space="preserve">Фонда социального страхования РФ </w:t>
      </w:r>
      <w:r w:rsidR="00763C87" w:rsidRPr="009734FD">
        <w:t>от 13</w:t>
      </w:r>
      <w:r>
        <w:t xml:space="preserve"> января </w:t>
      </w:r>
      <w:r w:rsidR="00763C87" w:rsidRPr="009734FD">
        <w:t>2016</w:t>
      </w:r>
      <w:r>
        <w:t xml:space="preserve"> г. №</w:t>
      </w:r>
      <w:r w:rsidR="00763C87" w:rsidRPr="009734FD">
        <w:t xml:space="preserve"> 11</w:t>
      </w:r>
      <w:r>
        <w:t xml:space="preserve"> «</w:t>
      </w:r>
      <w:r w:rsidR="00763C87" w:rsidRPr="009734FD">
        <w:t>Об утверждении Инструкции об организации рассмотрения обращений граждан в Фонде социального с</w:t>
      </w:r>
      <w:r>
        <w:t>трахования Российской Федерации»</w:t>
      </w:r>
    </w:p>
    <w:p w:rsidR="00763C87" w:rsidRPr="009734FD" w:rsidRDefault="00763C87" w:rsidP="00763C87">
      <w:pPr>
        <w:tabs>
          <w:tab w:val="left" w:pos="709"/>
        </w:tabs>
        <w:rPr>
          <w:rFonts w:ascii="Arial" w:eastAsia="Times New Roman" w:hAnsi="Arial" w:cs="Arial"/>
          <w:b/>
          <w:bCs/>
          <w:color w:val="000000"/>
          <w:sz w:val="23"/>
          <w:szCs w:val="23"/>
          <w:lang w:eastAsia="ru-RU"/>
        </w:rPr>
      </w:pPr>
      <w:r w:rsidRPr="009734FD">
        <w:rPr>
          <w:rFonts w:ascii="Arial" w:eastAsia="Times New Roman" w:hAnsi="Arial" w:cs="Arial"/>
          <w:b/>
          <w:bCs/>
          <w:color w:val="000000"/>
          <w:sz w:val="23"/>
          <w:szCs w:val="23"/>
          <w:lang w:eastAsia="ru-RU"/>
        </w:rPr>
        <w:tab/>
        <w:t xml:space="preserve">Установлен порядок обращения граждан в ФСС РФ </w:t>
      </w:r>
    </w:p>
    <w:p w:rsidR="00763C87" w:rsidRPr="009734FD" w:rsidRDefault="00763C87" w:rsidP="00763C87">
      <w:pPr>
        <w:tabs>
          <w:tab w:val="left" w:pos="709"/>
        </w:tabs>
        <w:rPr>
          <w:rFonts w:ascii="Arial" w:eastAsia="Times New Roman" w:hAnsi="Arial" w:cs="Arial"/>
          <w:b/>
          <w:bCs/>
          <w:color w:val="000000"/>
          <w:sz w:val="23"/>
          <w:szCs w:val="23"/>
          <w:lang w:eastAsia="ru-RU"/>
        </w:rPr>
      </w:pPr>
      <w:r w:rsidRPr="009734FD">
        <w:rPr>
          <w:rFonts w:ascii="Arial" w:eastAsia="Times New Roman" w:hAnsi="Arial" w:cs="Arial"/>
          <w:b/>
          <w:bCs/>
          <w:color w:val="000000"/>
          <w:sz w:val="23"/>
          <w:szCs w:val="23"/>
          <w:lang w:eastAsia="ru-RU"/>
        </w:rPr>
        <w:tab/>
        <w:t xml:space="preserve">В частности, определено, что обращения в форме электронного документа направляются на адреса электронной почты mail@fss.ru, mail-fss@fss.ru или путем заполнения специальной формы на сайте Фонда http://www.fss.ru. </w:t>
      </w:r>
    </w:p>
    <w:p w:rsidR="00763C87" w:rsidRPr="009734FD" w:rsidRDefault="00763C87" w:rsidP="00763C87">
      <w:pPr>
        <w:tabs>
          <w:tab w:val="left" w:pos="709"/>
        </w:tabs>
        <w:rPr>
          <w:rFonts w:ascii="Arial" w:eastAsia="Times New Roman" w:hAnsi="Arial" w:cs="Arial"/>
          <w:b/>
          <w:bCs/>
          <w:color w:val="000000"/>
          <w:sz w:val="23"/>
          <w:szCs w:val="23"/>
          <w:lang w:eastAsia="ru-RU"/>
        </w:rPr>
      </w:pPr>
      <w:r w:rsidRPr="009734FD">
        <w:rPr>
          <w:rFonts w:ascii="Arial" w:eastAsia="Times New Roman" w:hAnsi="Arial" w:cs="Arial"/>
          <w:b/>
          <w:bCs/>
          <w:color w:val="000000"/>
          <w:sz w:val="23"/>
          <w:szCs w:val="23"/>
          <w:lang w:eastAsia="ru-RU"/>
        </w:rPr>
        <w:tab/>
        <w:t xml:space="preserve">Гражданин в своем письменном обращении в обязательном порядке указывает наименование Фонда, либо фамилию, имя, отчество соответствующего должностного лица Фонда, либо его должность, свои фамилию, имя, отчество, почтовый адрес, по которому должен быть направлен ответ, излагает суть обращения, ставит личную подпись и дату. В случае необходимости в подтверждение своих доводов гражданин прилагает к письменному обращению соответствующие документы и материалы либо их копии. </w:t>
      </w:r>
    </w:p>
    <w:p w:rsidR="00763C87" w:rsidRPr="009734FD" w:rsidRDefault="00763C87" w:rsidP="00763C87">
      <w:pPr>
        <w:tabs>
          <w:tab w:val="left" w:pos="709"/>
        </w:tabs>
        <w:rPr>
          <w:rFonts w:ascii="Arial" w:eastAsia="Times New Roman" w:hAnsi="Arial" w:cs="Arial"/>
          <w:b/>
          <w:bCs/>
          <w:color w:val="000000"/>
          <w:sz w:val="23"/>
          <w:szCs w:val="23"/>
          <w:lang w:eastAsia="ru-RU"/>
        </w:rPr>
      </w:pPr>
      <w:r w:rsidRPr="009734FD">
        <w:rPr>
          <w:rFonts w:ascii="Arial" w:eastAsia="Times New Roman" w:hAnsi="Arial" w:cs="Arial"/>
          <w:b/>
          <w:bCs/>
          <w:color w:val="000000"/>
          <w:sz w:val="23"/>
          <w:szCs w:val="23"/>
          <w:lang w:eastAsia="ru-RU"/>
        </w:rPr>
        <w:tab/>
        <w:t>При личном приеме гражданин предъявляет документ, удостоверяющий его личность.</w:t>
      </w:r>
    </w:p>
    <w:p w:rsidR="00763C87" w:rsidRDefault="00763C87" w:rsidP="00763C87">
      <w:pPr>
        <w:tabs>
          <w:tab w:val="left" w:pos="709"/>
        </w:tabs>
      </w:pPr>
    </w:p>
    <w:p w:rsidR="001F7F77" w:rsidRPr="001F7F77" w:rsidRDefault="009734FD" w:rsidP="001F7F77">
      <w:pPr>
        <w:tabs>
          <w:tab w:val="left" w:pos="709"/>
        </w:tabs>
      </w:pPr>
      <w:r>
        <w:tab/>
      </w:r>
      <w:r w:rsidR="001F7F77" w:rsidRPr="001F7F77">
        <w:t>Приказ Росстата от 19</w:t>
      </w:r>
      <w:r>
        <w:t xml:space="preserve"> февраля </w:t>
      </w:r>
      <w:r w:rsidR="001F7F77" w:rsidRPr="001F7F77">
        <w:t>2016</w:t>
      </w:r>
      <w:r>
        <w:t xml:space="preserve"> г.№</w:t>
      </w:r>
      <w:r w:rsidR="001F7F77" w:rsidRPr="001F7F77">
        <w:t xml:space="preserve"> 73 </w:t>
      </w:r>
      <w:r>
        <w:t>«</w:t>
      </w:r>
      <w:r w:rsidR="001F7F77" w:rsidRPr="001F7F77">
        <w: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 осуществляющих образовательную деятельность по дополнитель</w:t>
      </w:r>
      <w:r>
        <w:t>ным профессиональным программам»</w:t>
      </w:r>
    </w:p>
    <w:p w:rsidR="00763C87" w:rsidRDefault="00763C87" w:rsidP="00763C87">
      <w:pPr>
        <w:tabs>
          <w:tab w:val="left" w:pos="709"/>
        </w:tabs>
      </w:pPr>
    </w:p>
    <w:p w:rsidR="006361A1" w:rsidRDefault="006361A1" w:rsidP="006361A1">
      <w:pPr>
        <w:tabs>
          <w:tab w:val="left" w:pos="709"/>
        </w:tabs>
      </w:pPr>
      <w:r>
        <w:tab/>
        <w:t xml:space="preserve">Письмо </w:t>
      </w:r>
      <w:r w:rsidRPr="006361A1">
        <w:t xml:space="preserve">Министерства образования и науки РФ </w:t>
      </w:r>
      <w:r>
        <w:t>от 26 февраля 2016 г. № 12-ПГ-МОН-3527 «О рассмотрении обращения»</w:t>
      </w:r>
    </w:p>
    <w:p w:rsidR="006361A1" w:rsidRPr="006361A1" w:rsidRDefault="006361A1" w:rsidP="006361A1">
      <w:pPr>
        <w:tabs>
          <w:tab w:val="left" w:pos="709"/>
        </w:tabs>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ab/>
        <w:t xml:space="preserve">Рассматривается вопрос </w:t>
      </w:r>
      <w:r w:rsidRPr="006361A1">
        <w:rPr>
          <w:rFonts w:ascii="Arial" w:eastAsia="Times New Roman" w:hAnsi="Arial" w:cs="Arial"/>
          <w:b/>
          <w:bCs/>
          <w:color w:val="000000"/>
          <w:sz w:val="23"/>
          <w:szCs w:val="23"/>
          <w:lang w:eastAsia="ru-RU"/>
        </w:rPr>
        <w:t>о расследовани</w:t>
      </w:r>
      <w:r w:rsidR="00281748">
        <w:rPr>
          <w:rFonts w:ascii="Arial" w:eastAsia="Times New Roman" w:hAnsi="Arial" w:cs="Arial"/>
          <w:b/>
          <w:bCs/>
          <w:color w:val="000000"/>
          <w:sz w:val="23"/>
          <w:szCs w:val="23"/>
          <w:lang w:eastAsia="ru-RU"/>
        </w:rPr>
        <w:t>и</w:t>
      </w:r>
      <w:r w:rsidRPr="006361A1">
        <w:rPr>
          <w:rFonts w:ascii="Arial" w:eastAsia="Times New Roman" w:hAnsi="Arial" w:cs="Arial"/>
          <w:b/>
          <w:bCs/>
          <w:color w:val="000000"/>
          <w:sz w:val="23"/>
          <w:szCs w:val="23"/>
          <w:lang w:eastAsia="ru-RU"/>
        </w:rPr>
        <w:t xml:space="preserve"> и учет</w:t>
      </w:r>
      <w:r w:rsidR="00281748">
        <w:rPr>
          <w:rFonts w:ascii="Arial" w:eastAsia="Times New Roman" w:hAnsi="Arial" w:cs="Arial"/>
          <w:b/>
          <w:bCs/>
          <w:color w:val="000000"/>
          <w:sz w:val="23"/>
          <w:szCs w:val="23"/>
          <w:lang w:eastAsia="ru-RU"/>
        </w:rPr>
        <w:t>е</w:t>
      </w:r>
      <w:r w:rsidRPr="006361A1">
        <w:rPr>
          <w:rFonts w:ascii="Arial" w:eastAsia="Times New Roman" w:hAnsi="Arial" w:cs="Arial"/>
          <w:b/>
          <w:bCs/>
          <w:color w:val="000000"/>
          <w:sz w:val="23"/>
          <w:szCs w:val="23"/>
          <w:lang w:eastAsia="ru-RU"/>
        </w:rPr>
        <w:t xml:space="preserve"> несчастных случаев с </w:t>
      </w:r>
      <w:proofErr w:type="gramStart"/>
      <w:r w:rsidRPr="006361A1">
        <w:rPr>
          <w:rFonts w:ascii="Arial" w:eastAsia="Times New Roman" w:hAnsi="Arial" w:cs="Arial"/>
          <w:b/>
          <w:bCs/>
          <w:color w:val="000000"/>
          <w:sz w:val="23"/>
          <w:szCs w:val="23"/>
          <w:lang w:eastAsia="ru-RU"/>
        </w:rPr>
        <w:t>обучающимися</w:t>
      </w:r>
      <w:proofErr w:type="gramEnd"/>
      <w:r w:rsidR="00281748">
        <w:rPr>
          <w:rFonts w:ascii="Arial" w:eastAsia="Times New Roman" w:hAnsi="Arial" w:cs="Arial"/>
          <w:b/>
          <w:bCs/>
          <w:color w:val="000000"/>
          <w:sz w:val="23"/>
          <w:szCs w:val="23"/>
          <w:lang w:eastAsia="ru-RU"/>
        </w:rPr>
        <w:t xml:space="preserve"> до принятия Порядка о проведении таких расследований</w:t>
      </w:r>
    </w:p>
    <w:p w:rsidR="00763C87" w:rsidRDefault="00763C87" w:rsidP="00763C87">
      <w:pPr>
        <w:tabs>
          <w:tab w:val="left" w:pos="709"/>
        </w:tabs>
      </w:pPr>
    </w:p>
    <w:p w:rsidR="00763C87" w:rsidRPr="006361A1" w:rsidRDefault="006361A1" w:rsidP="00763C87">
      <w:pPr>
        <w:tabs>
          <w:tab w:val="left" w:pos="709"/>
        </w:tabs>
      </w:pPr>
      <w:r>
        <w:tab/>
      </w:r>
      <w:r w:rsidR="00763C87" w:rsidRPr="006361A1">
        <w:t xml:space="preserve">Информация </w:t>
      </w:r>
      <w:r w:rsidRPr="006361A1">
        <w:t>Министерства труда и социальной защиты РФ</w:t>
      </w:r>
      <w:r>
        <w:t xml:space="preserve"> «</w:t>
      </w:r>
      <w:r w:rsidR="00763C87" w:rsidRPr="006361A1">
        <w:t>Об индексации с 1 февраля 2016 года государственных пособий гражданам, имеющим детей</w:t>
      </w:r>
      <w:r>
        <w:t>»</w:t>
      </w:r>
    </w:p>
    <w:p w:rsidR="00763C87" w:rsidRPr="006361A1" w:rsidRDefault="00763C87" w:rsidP="00763C87">
      <w:pPr>
        <w:tabs>
          <w:tab w:val="left" w:pos="709"/>
        </w:tabs>
        <w:rPr>
          <w:rFonts w:ascii="Arial" w:eastAsia="Times New Roman" w:hAnsi="Arial" w:cs="Arial"/>
          <w:b/>
          <w:bCs/>
          <w:color w:val="000000"/>
          <w:sz w:val="23"/>
          <w:szCs w:val="23"/>
          <w:lang w:eastAsia="ru-RU"/>
        </w:rPr>
      </w:pPr>
      <w:r w:rsidRPr="006361A1">
        <w:rPr>
          <w:rFonts w:ascii="Arial" w:eastAsia="Times New Roman" w:hAnsi="Arial" w:cs="Arial"/>
          <w:b/>
          <w:bCs/>
          <w:color w:val="000000"/>
          <w:sz w:val="23"/>
          <w:szCs w:val="23"/>
          <w:lang w:eastAsia="ru-RU"/>
        </w:rPr>
        <w:tab/>
        <w:t>С 1 февраля 2016 года пособия семьям с детьми проиндексированы на 7 процентов</w:t>
      </w:r>
    </w:p>
    <w:p w:rsidR="00763C87" w:rsidRPr="006361A1" w:rsidRDefault="00763C87" w:rsidP="00763C87">
      <w:pPr>
        <w:tabs>
          <w:tab w:val="left" w:pos="709"/>
        </w:tabs>
        <w:rPr>
          <w:rFonts w:ascii="Arial" w:eastAsia="Times New Roman" w:hAnsi="Arial" w:cs="Arial"/>
          <w:b/>
          <w:bCs/>
          <w:color w:val="000000"/>
          <w:sz w:val="23"/>
          <w:szCs w:val="23"/>
          <w:lang w:eastAsia="ru-RU"/>
        </w:rPr>
      </w:pPr>
      <w:r w:rsidRPr="006361A1">
        <w:rPr>
          <w:rFonts w:ascii="Arial" w:eastAsia="Times New Roman" w:hAnsi="Arial" w:cs="Arial"/>
          <w:b/>
          <w:bCs/>
          <w:color w:val="000000"/>
          <w:sz w:val="23"/>
          <w:szCs w:val="23"/>
          <w:lang w:eastAsia="ru-RU"/>
        </w:rPr>
        <w:lastRenderedPageBreak/>
        <w:tab/>
        <w:t>Так, с 1 февраля 2016 года размер пособий составляет:</w:t>
      </w:r>
    </w:p>
    <w:p w:rsidR="00763C87" w:rsidRPr="006361A1" w:rsidRDefault="00763C87" w:rsidP="00763C87">
      <w:pPr>
        <w:tabs>
          <w:tab w:val="left" w:pos="709"/>
        </w:tabs>
        <w:rPr>
          <w:rFonts w:ascii="Arial" w:eastAsia="Times New Roman" w:hAnsi="Arial" w:cs="Arial"/>
          <w:b/>
          <w:bCs/>
          <w:color w:val="000000"/>
          <w:sz w:val="23"/>
          <w:szCs w:val="23"/>
          <w:lang w:eastAsia="ru-RU"/>
        </w:rPr>
      </w:pPr>
      <w:r w:rsidRPr="006361A1">
        <w:rPr>
          <w:rFonts w:ascii="Arial" w:eastAsia="Times New Roman" w:hAnsi="Arial" w:cs="Arial"/>
          <w:b/>
          <w:bCs/>
          <w:color w:val="000000"/>
          <w:sz w:val="23"/>
          <w:szCs w:val="23"/>
          <w:lang w:eastAsia="ru-RU"/>
        </w:rPr>
        <w:t>- единовременного пособия при рождении ребенка - 15,5 тысячи рублей;</w:t>
      </w:r>
    </w:p>
    <w:p w:rsidR="00763C87" w:rsidRPr="006361A1" w:rsidRDefault="00763C87" w:rsidP="00763C87">
      <w:pPr>
        <w:tabs>
          <w:tab w:val="left" w:pos="709"/>
        </w:tabs>
        <w:rPr>
          <w:rFonts w:ascii="Arial" w:eastAsia="Times New Roman" w:hAnsi="Arial" w:cs="Arial"/>
          <w:b/>
          <w:bCs/>
          <w:color w:val="000000"/>
          <w:sz w:val="23"/>
          <w:szCs w:val="23"/>
          <w:lang w:eastAsia="ru-RU"/>
        </w:rPr>
      </w:pPr>
      <w:r w:rsidRPr="006361A1">
        <w:rPr>
          <w:rFonts w:ascii="Arial" w:eastAsia="Times New Roman" w:hAnsi="Arial" w:cs="Arial"/>
          <w:b/>
          <w:bCs/>
          <w:color w:val="000000"/>
          <w:sz w:val="23"/>
          <w:szCs w:val="23"/>
          <w:lang w:eastAsia="ru-RU"/>
        </w:rPr>
        <w:t>- ежемесячного пособия по уходу за ребенком до полутора лет для граждан, не подлежащих обязательному социальному страхованию, - 2,9 тысячи рублей по уходу за первым ребенком и 5,8 тысячи рублей по уходу за вторым и последующими детьми.</w:t>
      </w:r>
    </w:p>
    <w:p w:rsidR="00763C87" w:rsidRPr="006361A1" w:rsidRDefault="00763C87" w:rsidP="00763C87">
      <w:pPr>
        <w:tabs>
          <w:tab w:val="left" w:pos="709"/>
        </w:tabs>
        <w:rPr>
          <w:rFonts w:ascii="Arial" w:eastAsia="Times New Roman" w:hAnsi="Arial" w:cs="Arial"/>
          <w:b/>
          <w:bCs/>
          <w:color w:val="000000"/>
          <w:sz w:val="23"/>
          <w:szCs w:val="23"/>
          <w:lang w:eastAsia="ru-RU"/>
        </w:rPr>
      </w:pPr>
      <w:r w:rsidRPr="006361A1">
        <w:rPr>
          <w:rFonts w:ascii="Arial" w:eastAsia="Times New Roman" w:hAnsi="Arial" w:cs="Arial"/>
          <w:b/>
          <w:bCs/>
          <w:color w:val="000000"/>
          <w:sz w:val="23"/>
          <w:szCs w:val="23"/>
          <w:lang w:eastAsia="ru-RU"/>
        </w:rPr>
        <w:tab/>
        <w:t>Кроме того, увеличены пособия, которые выплачиваются в рамках социального страхования.</w:t>
      </w:r>
    </w:p>
    <w:p w:rsidR="00763C87" w:rsidRPr="006361A1" w:rsidRDefault="00763C87" w:rsidP="00763C87">
      <w:pPr>
        <w:tabs>
          <w:tab w:val="left" w:pos="709"/>
        </w:tabs>
        <w:rPr>
          <w:rFonts w:ascii="Arial" w:eastAsia="Times New Roman" w:hAnsi="Arial" w:cs="Arial"/>
          <w:b/>
          <w:bCs/>
          <w:color w:val="000000"/>
          <w:sz w:val="23"/>
          <w:szCs w:val="23"/>
          <w:lang w:eastAsia="ru-RU"/>
        </w:rPr>
      </w:pPr>
      <w:r w:rsidRPr="006361A1">
        <w:rPr>
          <w:rFonts w:ascii="Arial" w:eastAsia="Times New Roman" w:hAnsi="Arial" w:cs="Arial"/>
          <w:b/>
          <w:bCs/>
          <w:color w:val="000000"/>
          <w:sz w:val="23"/>
          <w:szCs w:val="23"/>
          <w:lang w:eastAsia="ru-RU"/>
        </w:rPr>
        <w:tab/>
        <w:t>Максимально возможная сумма пособия по беременности и родам (в размере 100 процентов среднего заработка работающей женщины) составляет 53,9 тысячи рублей за полный календарный месяц.</w:t>
      </w:r>
    </w:p>
    <w:p w:rsidR="00763C87" w:rsidRPr="006361A1" w:rsidRDefault="00763C87" w:rsidP="00763C87">
      <w:pPr>
        <w:tabs>
          <w:tab w:val="left" w:pos="709"/>
        </w:tabs>
        <w:rPr>
          <w:rFonts w:ascii="Arial" w:eastAsia="Times New Roman" w:hAnsi="Arial" w:cs="Arial"/>
          <w:b/>
          <w:bCs/>
          <w:color w:val="000000"/>
          <w:sz w:val="23"/>
          <w:szCs w:val="23"/>
          <w:lang w:eastAsia="ru-RU"/>
        </w:rPr>
      </w:pPr>
      <w:r w:rsidRPr="006361A1">
        <w:rPr>
          <w:rFonts w:ascii="Arial" w:eastAsia="Times New Roman" w:hAnsi="Arial" w:cs="Arial"/>
          <w:b/>
          <w:bCs/>
          <w:color w:val="000000"/>
          <w:sz w:val="23"/>
          <w:szCs w:val="23"/>
          <w:lang w:eastAsia="ru-RU"/>
        </w:rPr>
        <w:tab/>
        <w:t>Максимальная сумма ежемесячного пособия по уходу за ребенком до полутора лет (выплачиваемого в размере 40% от среднего заработка застрахованного лица) составляет 21,6 тысячи рублей.</w:t>
      </w:r>
    </w:p>
    <w:p w:rsidR="00763C87" w:rsidRDefault="00763C87" w:rsidP="00763C87">
      <w:pPr>
        <w:tabs>
          <w:tab w:val="left" w:pos="709"/>
        </w:tabs>
      </w:pPr>
    </w:p>
    <w:p w:rsidR="0013036E" w:rsidRPr="001F7F77" w:rsidRDefault="00FA058C" w:rsidP="0013036E">
      <w:pPr>
        <w:tabs>
          <w:tab w:val="left" w:pos="720"/>
        </w:tabs>
        <w:rPr>
          <w:rFonts w:cs="Times New Roman"/>
          <w:szCs w:val="28"/>
        </w:rPr>
      </w:pPr>
      <w:r w:rsidRPr="00FA058C">
        <w:rPr>
          <w:rFonts w:eastAsia="Times New Roman" w:cs="Times New Roman"/>
          <w:b/>
          <w:i/>
          <w:color w:val="000000"/>
          <w:sz w:val="32"/>
          <w:szCs w:val="32"/>
          <w:lang w:eastAsia="ru-RU"/>
        </w:rPr>
        <w:tab/>
      </w:r>
    </w:p>
    <w:p w:rsidR="001F7F77" w:rsidRPr="001F7F77" w:rsidRDefault="001F7F77" w:rsidP="001F7F77">
      <w:pPr>
        <w:tabs>
          <w:tab w:val="left" w:pos="709"/>
        </w:tabs>
        <w:rPr>
          <w:rFonts w:cs="Times New Roman"/>
          <w:szCs w:val="28"/>
        </w:rPr>
      </w:pPr>
    </w:p>
    <w:sectPr w:rsidR="001F7F77" w:rsidRPr="001F7F77" w:rsidSect="00912088">
      <w:headerReference w:type="default" r:id="rId9"/>
      <w:headerReference w:type="firs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CA" w:rsidRDefault="001907CA" w:rsidP="00912088">
      <w:r>
        <w:separator/>
      </w:r>
    </w:p>
  </w:endnote>
  <w:endnote w:type="continuationSeparator" w:id="0">
    <w:p w:rsidR="001907CA" w:rsidRDefault="001907CA" w:rsidP="0091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CA" w:rsidRDefault="001907CA" w:rsidP="00912088">
      <w:r>
        <w:separator/>
      </w:r>
    </w:p>
  </w:footnote>
  <w:footnote w:type="continuationSeparator" w:id="0">
    <w:p w:rsidR="001907CA" w:rsidRDefault="001907CA" w:rsidP="00912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5336"/>
      <w:docPartObj>
        <w:docPartGallery w:val="Page Numbers (Top of Page)"/>
        <w:docPartUnique/>
      </w:docPartObj>
    </w:sdtPr>
    <w:sdtEndPr/>
    <w:sdtContent>
      <w:p w:rsidR="00912088" w:rsidRDefault="006F0FE7">
        <w:pPr>
          <w:pStyle w:val="a4"/>
          <w:jc w:val="right"/>
        </w:pPr>
        <w:r>
          <w:fldChar w:fldCharType="begin"/>
        </w:r>
        <w:r w:rsidR="00912088">
          <w:instrText>PAGE   \* MERGEFORMAT</w:instrText>
        </w:r>
        <w:r>
          <w:fldChar w:fldCharType="separate"/>
        </w:r>
        <w:r w:rsidR="0081622D">
          <w:rPr>
            <w:noProof/>
          </w:rPr>
          <w:t>2</w:t>
        </w:r>
        <w:r>
          <w:fldChar w:fldCharType="end"/>
        </w:r>
      </w:p>
    </w:sdtContent>
  </w:sdt>
  <w:p w:rsidR="00912088" w:rsidRDefault="009120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2E" w:rsidRDefault="0036772E" w:rsidP="006252DE">
    <w:pPr>
      <w:pStyle w:val="a4"/>
      <w:jc w:val="left"/>
      <w:rPr>
        <w:sz w:val="10"/>
        <w:szCs w:val="10"/>
      </w:rPr>
    </w:pPr>
    <w:r>
      <w:rPr>
        <w:sz w:val="10"/>
        <w:szCs w:val="10"/>
      </w:rPr>
      <w:t xml:space="preserve">                                                                                                                                                                                                                  </w:t>
    </w:r>
    <w:r w:rsidR="006252DE">
      <w:rPr>
        <w:sz w:val="10"/>
        <w:szCs w:val="10"/>
      </w:rPr>
      <w:t xml:space="preserve">                             </w:t>
    </w:r>
    <w:r w:rsidR="0081622D">
      <w:rPr>
        <w:sz w:val="10"/>
        <w:szCs w:val="10"/>
      </w:rPr>
      <w:t xml:space="preserve">                               </w:t>
    </w:r>
    <w:r w:rsidRPr="0036772E">
      <w:rPr>
        <w:sz w:val="10"/>
        <w:szCs w:val="10"/>
      </w:rPr>
      <w:t>Общероссийский</w:t>
    </w:r>
    <w:r w:rsidR="006252DE">
      <w:rPr>
        <w:sz w:val="10"/>
        <w:szCs w:val="10"/>
      </w:rPr>
      <w:t xml:space="preserve"> Профсоюз образования</w:t>
    </w:r>
  </w:p>
  <w:p w:rsidR="0036772E" w:rsidRPr="0036772E" w:rsidRDefault="0036772E">
    <w:pPr>
      <w:pStyle w:val="a4"/>
      <w:rPr>
        <w:sz w:val="10"/>
        <w:szCs w:val="10"/>
      </w:rPr>
    </w:pPr>
    <w:r>
      <w:rPr>
        <w:sz w:val="10"/>
        <w:szCs w:val="10"/>
      </w:rPr>
      <w:t xml:space="preserve">                                                                                                                                                                                                                                                                     </w:t>
    </w:r>
    <w:r w:rsidR="006252DE">
      <w:rPr>
        <w:sz w:val="10"/>
        <w:szCs w:val="10"/>
      </w:rPr>
      <w:t xml:space="preserve">      </w:t>
    </w:r>
    <w:r>
      <w:rPr>
        <w:sz w:val="10"/>
        <w:szCs w:val="10"/>
      </w:rPr>
      <w:t xml:space="preserve"> </w:t>
    </w:r>
    <w:r w:rsidR="006252DE">
      <w:rPr>
        <w:sz w:val="10"/>
        <w:szCs w:val="10"/>
      </w:rPr>
      <w:t xml:space="preserve"> </w:t>
    </w:r>
    <w:r>
      <w:rPr>
        <w:sz w:val="10"/>
        <w:szCs w:val="10"/>
      </w:rPr>
      <w:t xml:space="preserve"> Липецкая  городская</w:t>
    </w:r>
    <w:r w:rsidRPr="0036772E">
      <w:rPr>
        <w:sz w:val="10"/>
        <w:szCs w:val="10"/>
      </w:rPr>
      <w:t xml:space="preserve"> организация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EF4"/>
    <w:multiLevelType w:val="multilevel"/>
    <w:tmpl w:val="1D62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40F05"/>
    <w:multiLevelType w:val="multilevel"/>
    <w:tmpl w:val="C1E4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2430F"/>
    <w:multiLevelType w:val="multilevel"/>
    <w:tmpl w:val="94D6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41179"/>
    <w:multiLevelType w:val="multilevel"/>
    <w:tmpl w:val="1942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DF2C8A"/>
    <w:multiLevelType w:val="multilevel"/>
    <w:tmpl w:val="C9C4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237C"/>
    <w:rsid w:val="0013036E"/>
    <w:rsid w:val="001907CA"/>
    <w:rsid w:val="001D0722"/>
    <w:rsid w:val="001D7E99"/>
    <w:rsid w:val="001F7F77"/>
    <w:rsid w:val="00281748"/>
    <w:rsid w:val="002D0854"/>
    <w:rsid w:val="00317D14"/>
    <w:rsid w:val="003463EB"/>
    <w:rsid w:val="0036772E"/>
    <w:rsid w:val="00531B98"/>
    <w:rsid w:val="005E147C"/>
    <w:rsid w:val="00612DF0"/>
    <w:rsid w:val="006252DE"/>
    <w:rsid w:val="006361A1"/>
    <w:rsid w:val="0064237C"/>
    <w:rsid w:val="006553B4"/>
    <w:rsid w:val="006F0FE7"/>
    <w:rsid w:val="00756FD3"/>
    <w:rsid w:val="00763C87"/>
    <w:rsid w:val="007A1FFC"/>
    <w:rsid w:val="0081622D"/>
    <w:rsid w:val="0082536E"/>
    <w:rsid w:val="0089704F"/>
    <w:rsid w:val="008B63EA"/>
    <w:rsid w:val="00912088"/>
    <w:rsid w:val="009734FD"/>
    <w:rsid w:val="00A549DE"/>
    <w:rsid w:val="00A907BD"/>
    <w:rsid w:val="00B623FB"/>
    <w:rsid w:val="00B91B53"/>
    <w:rsid w:val="00C00E81"/>
    <w:rsid w:val="00C916BD"/>
    <w:rsid w:val="00CB67F3"/>
    <w:rsid w:val="00DD62C3"/>
    <w:rsid w:val="00FA058C"/>
    <w:rsid w:val="00FD1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7C"/>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37C"/>
    <w:rPr>
      <w:color w:val="0000FF" w:themeColor="hyperlink"/>
      <w:u w:val="single"/>
    </w:rPr>
  </w:style>
  <w:style w:type="paragraph" w:styleId="a4">
    <w:name w:val="header"/>
    <w:basedOn w:val="a"/>
    <w:link w:val="a5"/>
    <w:uiPriority w:val="99"/>
    <w:unhideWhenUsed/>
    <w:rsid w:val="00912088"/>
    <w:pPr>
      <w:tabs>
        <w:tab w:val="center" w:pos="4677"/>
        <w:tab w:val="right" w:pos="9355"/>
      </w:tabs>
    </w:pPr>
  </w:style>
  <w:style w:type="character" w:customStyle="1" w:styleId="a5">
    <w:name w:val="Верхний колонтитул Знак"/>
    <w:basedOn w:val="a0"/>
    <w:link w:val="a4"/>
    <w:uiPriority w:val="99"/>
    <w:rsid w:val="00912088"/>
    <w:rPr>
      <w:rFonts w:cstheme="minorBidi"/>
      <w:szCs w:val="22"/>
    </w:rPr>
  </w:style>
  <w:style w:type="paragraph" w:styleId="a6">
    <w:name w:val="footer"/>
    <w:basedOn w:val="a"/>
    <w:link w:val="a7"/>
    <w:uiPriority w:val="99"/>
    <w:unhideWhenUsed/>
    <w:rsid w:val="00912088"/>
    <w:pPr>
      <w:tabs>
        <w:tab w:val="center" w:pos="4677"/>
        <w:tab w:val="right" w:pos="9355"/>
      </w:tabs>
    </w:pPr>
  </w:style>
  <w:style w:type="character" w:customStyle="1" w:styleId="a7">
    <w:name w:val="Нижний колонтитул Знак"/>
    <w:basedOn w:val="a0"/>
    <w:link w:val="a6"/>
    <w:uiPriority w:val="99"/>
    <w:rsid w:val="00912088"/>
    <w:rPr>
      <w:rFonts w:cstheme="minorBidi"/>
      <w:szCs w:val="22"/>
    </w:rPr>
  </w:style>
  <w:style w:type="paragraph" w:styleId="a8">
    <w:name w:val="Balloon Text"/>
    <w:basedOn w:val="a"/>
    <w:link w:val="a9"/>
    <w:uiPriority w:val="99"/>
    <w:semiHidden/>
    <w:unhideWhenUsed/>
    <w:rsid w:val="0036772E"/>
    <w:rPr>
      <w:rFonts w:ascii="Tahoma" w:hAnsi="Tahoma" w:cs="Tahoma"/>
      <w:sz w:val="16"/>
      <w:szCs w:val="16"/>
    </w:rPr>
  </w:style>
  <w:style w:type="character" w:customStyle="1" w:styleId="a9">
    <w:name w:val="Текст выноски Знак"/>
    <w:basedOn w:val="a0"/>
    <w:link w:val="a8"/>
    <w:uiPriority w:val="99"/>
    <w:semiHidden/>
    <w:rsid w:val="00367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7C"/>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37C"/>
    <w:rPr>
      <w:color w:val="0000FF" w:themeColor="hyperlink"/>
      <w:u w:val="single"/>
    </w:rPr>
  </w:style>
  <w:style w:type="paragraph" w:styleId="a4">
    <w:name w:val="header"/>
    <w:basedOn w:val="a"/>
    <w:link w:val="a5"/>
    <w:uiPriority w:val="99"/>
    <w:unhideWhenUsed/>
    <w:rsid w:val="00912088"/>
    <w:pPr>
      <w:tabs>
        <w:tab w:val="center" w:pos="4677"/>
        <w:tab w:val="right" w:pos="9355"/>
      </w:tabs>
    </w:pPr>
  </w:style>
  <w:style w:type="character" w:customStyle="1" w:styleId="a5">
    <w:name w:val="Верхний колонтитул Знак"/>
    <w:basedOn w:val="a0"/>
    <w:link w:val="a4"/>
    <w:uiPriority w:val="99"/>
    <w:rsid w:val="00912088"/>
    <w:rPr>
      <w:rFonts w:cstheme="minorBidi"/>
      <w:szCs w:val="22"/>
    </w:rPr>
  </w:style>
  <w:style w:type="paragraph" w:styleId="a6">
    <w:name w:val="footer"/>
    <w:basedOn w:val="a"/>
    <w:link w:val="a7"/>
    <w:uiPriority w:val="99"/>
    <w:unhideWhenUsed/>
    <w:rsid w:val="00912088"/>
    <w:pPr>
      <w:tabs>
        <w:tab w:val="center" w:pos="4677"/>
        <w:tab w:val="right" w:pos="9355"/>
      </w:tabs>
    </w:pPr>
  </w:style>
  <w:style w:type="character" w:customStyle="1" w:styleId="a7">
    <w:name w:val="Нижний колонтитул Знак"/>
    <w:basedOn w:val="a0"/>
    <w:link w:val="a6"/>
    <w:uiPriority w:val="99"/>
    <w:rsid w:val="00912088"/>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Natalia</cp:lastModifiedBy>
  <cp:revision>5</cp:revision>
  <cp:lastPrinted>2016-03-15T10:31:00Z</cp:lastPrinted>
  <dcterms:created xsi:type="dcterms:W3CDTF">2016-03-17T15:19:00Z</dcterms:created>
  <dcterms:modified xsi:type="dcterms:W3CDTF">2016-04-08T11:04:00Z</dcterms:modified>
</cp:coreProperties>
</file>